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595" w:type="dxa"/>
        <w:tblInd w:w="-159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1575" w:firstLineChars="75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bookmarkEnd w:id="0"/>
            <w:bookmarkEnd w:id="1"/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附件1：参会回执</w:t>
            </w:r>
            <w:bookmarkStart w:id="2" w:name="_GoBack"/>
            <w:bookmarkEnd w:id="2"/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“第三届国际脂质科学与健康研讨会·201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”参会回执</w:t>
            </w:r>
          </w:p>
          <w:tbl>
            <w:tblPr>
              <w:tblStyle w:val="3"/>
              <w:tblW w:w="9639" w:type="dxa"/>
              <w:jc w:val="center"/>
              <w:tblInd w:w="102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1"/>
              <w:gridCol w:w="441"/>
              <w:gridCol w:w="709"/>
              <w:gridCol w:w="1427"/>
              <w:gridCol w:w="1847"/>
              <w:gridCol w:w="112"/>
              <w:gridCol w:w="32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639" w:type="dxa"/>
                  <w:gridSpan w:val="7"/>
                  <w:shd w:val="clear" w:color="auto" w:fill="D8D8D8" w:themeFill="background1" w:themeFillShade="D9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报名人员情况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4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77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职务/职称</w:t>
                  </w:r>
                </w:p>
              </w:tc>
              <w:tc>
                <w:tcPr>
                  <w:tcW w:w="3262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4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E-mail</w:t>
                  </w:r>
                </w:p>
              </w:tc>
              <w:tc>
                <w:tcPr>
                  <w:tcW w:w="2577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电话</w:t>
                  </w:r>
                </w:p>
              </w:tc>
              <w:tc>
                <w:tcPr>
                  <w:tcW w:w="3262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4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7798" w:type="dxa"/>
                  <w:gridSpan w:val="6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4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8"/>
                      <w:szCs w:val="28"/>
                    </w:rPr>
                    <w:t>论文</w:t>
                  </w: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题目</w:t>
                  </w:r>
                </w:p>
              </w:tc>
              <w:tc>
                <w:tcPr>
                  <w:tcW w:w="7798" w:type="dxa"/>
                  <w:gridSpan w:val="6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4" w:hRule="atLeast"/>
                <w:jc w:val="center"/>
              </w:trPr>
              <w:tc>
                <w:tcPr>
                  <w:tcW w:w="184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论文议题</w:t>
                  </w:r>
                </w:p>
              </w:tc>
              <w:tc>
                <w:tcPr>
                  <w:tcW w:w="7798" w:type="dxa"/>
                  <w:gridSpan w:val="6"/>
                  <w:vAlign w:val="center"/>
                </w:tcPr>
                <w:p>
                  <w:pPr>
                    <w:ind w:firstLine="560" w:firstLineChars="200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□脂质分析与表征</w:t>
                  </w:r>
                  <w:r>
                    <w:rPr>
                      <w:rFonts w:hint="eastAsia" w:ascii="Times New Roman" w:hAnsi="Times New Roman" w:eastAsia="宋体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□脂质改良与调控</w:t>
                  </w:r>
                </w:p>
                <w:p>
                  <w:pPr>
                    <w:ind w:firstLine="560" w:firstLineChars="200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□脂质制备与修饰</w:t>
                  </w:r>
                  <w:r>
                    <w:rPr>
                      <w:rFonts w:hint="eastAsia" w:ascii="Times New Roman" w:hAnsi="Times New Roman" w:eastAsia="宋体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□脂质代谢与健康</w:t>
                  </w:r>
                  <w:r>
                    <w:rPr>
                      <w:rFonts w:hint="eastAsia" w:ascii="Times New Roman" w:hAnsi="Times New Roman" w:eastAsia="宋体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□</w:t>
                  </w:r>
                  <w:r>
                    <w:rPr>
                      <w:rFonts w:hint="eastAsia" w:ascii="Times New Roman" w:hAnsi="Times New Roman" w:eastAsia="宋体" w:cs="Times New Roman"/>
                      <w:sz w:val="28"/>
                      <w:szCs w:val="28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9639" w:type="dxa"/>
                  <w:gridSpan w:val="7"/>
                  <w:shd w:val="clear" w:color="auto" w:fill="D8D8D8" w:themeFill="background1" w:themeFillShade="D9"/>
                  <w:vAlign w:val="center"/>
                </w:tcPr>
                <w:p>
                  <w:pPr>
                    <w:ind w:firstLine="560" w:firstLineChars="200"/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注册费开票信息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" w:hRule="atLeast"/>
                <w:jc w:val="center"/>
              </w:trPr>
              <w:tc>
                <w:tcPr>
                  <w:tcW w:w="2282" w:type="dxa"/>
                  <w:gridSpan w:val="2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购买方名称：</w:t>
                  </w:r>
                </w:p>
              </w:tc>
              <w:tc>
                <w:tcPr>
                  <w:tcW w:w="7357" w:type="dxa"/>
                  <w:gridSpan w:val="5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" w:hRule="atLeast"/>
                <w:jc w:val="center"/>
              </w:trPr>
              <w:tc>
                <w:tcPr>
                  <w:tcW w:w="2282" w:type="dxa"/>
                  <w:gridSpan w:val="2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纳税人识别号：</w:t>
                  </w:r>
                </w:p>
              </w:tc>
              <w:tc>
                <w:tcPr>
                  <w:tcW w:w="7357" w:type="dxa"/>
                  <w:gridSpan w:val="5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" w:hRule="atLeast"/>
                <w:jc w:val="center"/>
              </w:trPr>
              <w:tc>
                <w:tcPr>
                  <w:tcW w:w="2282" w:type="dxa"/>
                  <w:gridSpan w:val="2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电话：</w:t>
                  </w:r>
                </w:p>
              </w:tc>
              <w:tc>
                <w:tcPr>
                  <w:tcW w:w="7357" w:type="dxa"/>
                  <w:gridSpan w:val="5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" w:hRule="atLeast"/>
                <w:jc w:val="center"/>
              </w:trPr>
              <w:tc>
                <w:tcPr>
                  <w:tcW w:w="2282" w:type="dxa"/>
                  <w:gridSpan w:val="2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地址：</w:t>
                  </w:r>
                </w:p>
              </w:tc>
              <w:tc>
                <w:tcPr>
                  <w:tcW w:w="7357" w:type="dxa"/>
                  <w:gridSpan w:val="5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" w:hRule="atLeast"/>
                <w:jc w:val="center"/>
              </w:trPr>
              <w:tc>
                <w:tcPr>
                  <w:tcW w:w="2282" w:type="dxa"/>
                  <w:gridSpan w:val="2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开户行及账号：</w:t>
                  </w:r>
                </w:p>
              </w:tc>
              <w:tc>
                <w:tcPr>
                  <w:tcW w:w="7357" w:type="dxa"/>
                  <w:gridSpan w:val="5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9639" w:type="dxa"/>
                  <w:gridSpan w:val="7"/>
                  <w:shd w:val="clear" w:color="auto" w:fill="D8D8D8" w:themeFill="background1" w:themeFillShade="D9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住宿情况登记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299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是否需要预定酒店□</w:t>
                  </w:r>
                </w:p>
              </w:tc>
              <w:tc>
                <w:tcPr>
                  <w:tcW w:w="3274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入住日期：</w:t>
                  </w:r>
                </w:p>
                <w:p>
                  <w:pPr>
                    <w:jc w:val="left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退房日期：</w:t>
                  </w:r>
                </w:p>
              </w:tc>
              <w:tc>
                <w:tcPr>
                  <w:tcW w:w="3374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是否愿意合住：是□否□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9639" w:type="dxa"/>
                  <w:gridSpan w:val="7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住宿房间：大床房□；标准间□，性别：男□；女□</w:t>
                  </w:r>
                </w:p>
                <w:p>
                  <w:pPr>
                    <w:spacing w:line="360" w:lineRule="auto"/>
                    <w:ind w:firstLine="1960" w:firstLineChars="700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8"/>
                      <w:szCs w:val="28"/>
                    </w:rPr>
                    <w:t>青岛府新大厦</w:t>
                  </w: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，标间：</w:t>
                  </w:r>
                  <w:r>
                    <w:rPr>
                      <w:rFonts w:hint="eastAsia" w:ascii="Times New Roman" w:hAnsi="Times New Roman" w:eastAsia="宋体" w:cs="Times New Roman"/>
                      <w:sz w:val="28"/>
                      <w:szCs w:val="28"/>
                    </w:rPr>
                    <w:t>380</w:t>
                  </w: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元/天（含早）□</w:t>
                  </w:r>
                </w:p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8"/>
                      <w:szCs w:val="28"/>
                    </w:rPr>
                    <w:t>青岛府新大厦，大床房：430元/天（含早）</w:t>
                  </w:r>
                  <w:r>
                    <w:rPr>
                      <w:rFonts w:ascii="Times New Roman" w:hAnsi="Times New Roman" w:eastAsia="宋体" w:cs="Times New Roman"/>
                      <w:sz w:val="28"/>
                      <w:szCs w:val="28"/>
                    </w:rPr>
                    <w:t>□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1260" w:firstLineChars="4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参会回执请于201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日前发送至邮箱lipidscience@sina.com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26475"/>
    <w:rsid w:val="4842647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vxin.OILCROP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2018-07-16T07:12:00Z</dcterms:created>
  <dc:creator>心晴</dc:creator>
  <cp:lastModifiedBy>心晴</cp:lastModifiedBy>
  <dcterms:modified xsi:type="dcterms:W3CDTF">2018-07-16T07:13:07Z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